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rPr>
          <w:rFonts w:ascii="Verdana" w:cs="Verdana" w:eastAsia="Verdana" w:hAnsi="Verdana"/>
          <w:b/>
          <w:bCs/>
          <w:sz w:val="52"/>
          <w:szCs w:val="52"/>
        </w:rPr>
        <w:t xml:space="preserve">Head of Sales</w:t>
      </w:r>
    </w:p>
    <w:p>
      <w:pPr>
        <w:spacing w:after="60" w:line="276"/>
        <w:jc w:val="left"/>
      </w:pPr>
      <w:r>
        <w:rPr>
          <w:rFonts w:ascii="Verdana" w:cs="Verdana" w:eastAsia="Verdana" w:hAnsi="Verdana"/>
          <w:i/>
          <w:iCs/>
          <w:color w:val="000000"/>
          <w:sz w:val="24"/>
          <w:szCs w:val="24"/>
        </w:rPr>
        <w:t xml:space="preserve">Selling What the World Has Never Bought Before  /  Premium by Nature  /  The Most Important Sale You’ll Ever Make</w:t>
      </w:r>
    </w:p>
    <w:p>
      <w:pPr>
        <w:spacing w:after="360" w:line="276"/>
        <w:jc w:val="left"/>
      </w:pPr>
      <w:r>
        <w:rPr>
          <w:rFonts w:ascii="Verdana" w:cs="Verdana" w:eastAsia="Verdana" w:hAnsi="Verdana"/>
          <w:i/>
          <w:iCs/>
          <w:color w:val="666666"/>
          <w:sz w:val="16"/>
          <w:szCs w:val="16"/>
        </w:rPr>
        <w:t xml:space="preserve">[Tagline options — select one]</w:t>
      </w:r>
    </w:p>
    <w:p>
      <w:pPr>
        <w:spacing w:after="120" w:line="276"/>
        <w:jc w:val="both"/>
      </w:pPr>
      <w:r>
        <w:rPr>
          <w:rFonts w:ascii="Verdana" w:cs="Verdana" w:eastAsia="Verdana" w:hAnsi="Verdana"/>
          <w:sz w:val="20"/>
          <w:szCs w:val="20"/>
        </w:rPr>
        <w:t xml:space="preserve">There are very few moments in a career when you get to sell something genuinely new. This is one of them.</w:t>
      </w:r>
    </w:p>
    <w:p>
      <w:pPr>
        <w:spacing w:after="120" w:line="276"/>
        <w:jc w:val="both"/>
      </w:pPr>
      <w:r>
        <w:rPr>
          <w:rFonts w:ascii="Verdana" w:cs="Verdana" w:eastAsia="Verdana" w:hAnsi="Verdana"/>
          <w:sz w:val="20"/>
          <w:szCs w:val="20"/>
        </w:rPr>
        <w:t xml:space="preserve">You’ve spent your career placing rare, considered propositions in front of the most discerning buyers — and you know the best deals are won on trust, provenance and story, not on discounting. We’re going to ask you to do exactly that, with something the market has never seen.</w:t>
      </w:r>
    </w:p>
    <w:p>
      <w:pPr>
        <w:spacing w:after="120" w:line="276"/>
        <w:jc w:val="both"/>
      </w:pPr>
      <w:r>
        <w:rPr>
          <w:rFonts w:ascii="Verdana" w:cs="Verdana" w:eastAsia="Verdana" w:hAnsi="Verdana"/>
          <w:sz w:val="20"/>
          <w:szCs w:val="20"/>
        </w:rPr>
        <w:t xml:space="preserve">Natural capital is emerging as one of the world’s most significant new asset classes, and the commercial market for it is being built in real time. Oxygen Conservation is at the forefront. We’re a fast-scaling business on a mission to protect and restore the natural environment at an institutional scale, aiming for £1 billion of assets under management by 2030 — and we’ll get there by bringing real commercial discipline to conservation. We’ve developed the highest-quality nature-based carbon credits in the world, at record prices, and this is just the beginning. We’re now bringing our portfolio of 2 million premium natural capital credits to market, and this role was created specifically to lead that.</w:t>
      </w:r>
    </w:p>
    <w:p>
      <w:pPr>
        <w:spacing w:after="120" w:line="276"/>
        <w:jc w:val="both"/>
      </w:pPr>
      <w:r>
        <w:rPr>
          <w:rFonts w:ascii="Verdana" w:cs="Verdana" w:eastAsia="Verdana" w:hAnsi="Verdana"/>
          <w:sz w:val="20"/>
          <w:szCs w:val="20"/>
        </w:rPr>
        <w:t xml:space="preserve">You don’t need to come from natural capital — we’ll make you fluent. What we can’t teach is the instinct for a premium sale, the discipline to hold a price, and the relationships that follow you from one deal to the next. Do that here, and you won’t just close landmark deals — you’ll help define how nature is commercialised globally, delivering genuine environmental and social impact alongside financial returns.</w:t>
      </w:r>
    </w:p>
    <w:p>
      <w:pPr>
        <w:pStyle w:val="Heading2"/>
      </w:pPr>
      <w:r>
        <w:rPr>
          <w:rFonts w:ascii="Verdana" w:cs="Verdana" w:eastAsia="Verdana" w:hAnsi="Verdana"/>
          <w:b/>
          <w:bCs/>
          <w:sz w:val="28"/>
          <w:szCs w:val="28"/>
        </w:rPr>
        <w:t xml:space="preserve">About You</w:t>
      </w:r>
    </w:p>
    <w:p>
      <w:pPr>
        <w:spacing w:after="120" w:line="276"/>
        <w:jc w:val="both"/>
      </w:pPr>
      <w:r>
        <w:rPr>
          <w:rFonts w:ascii="Verdana" w:cs="Verdana" w:eastAsia="Verdana" w:hAnsi="Verdana"/>
          <w:sz w:val="20"/>
          <w:szCs w:val="20"/>
        </w:rPr>
        <w:t xml:space="preserve">You’ve built your career selling premium — luxury, high-end services or sophisticated B2B environments, partnering with FTSE 100, S&amp;P 500, hyperscalers, infrastructure operators or comparable institutions, where commitment is earned on scarcity, provenance and trust. You understand how procurement and investment committees actually make decisions. You move comfortably across boardrooms and high-trust commercial environments, and you know instinctively that the best outcomes come from genuine relationships, sharp judgement, and the discipline to walk away from the wrong deal. You care passionately about quality, you have an unrelenting commitment to delivery, and you love building relationships with people. Here, you’ll be selling things that have rarely been sold before — helping create the market as you go.</w:t>
      </w:r>
    </w:p>
    <w:p>
      <w:pPr>
        <w:pStyle w:val="Heading3"/>
      </w:pPr>
      <w:r>
        <w:rPr>
          <w:rFonts w:ascii="Verdana" w:cs="Verdana" w:eastAsia="Verdana" w:hAnsi="Verdana"/>
          <w:b/>
          <w:bCs/>
          <w:sz w:val="24"/>
          <w:szCs w:val="24"/>
        </w:rPr>
        <w:t xml:space="preserve">Mindset</w:t>
      </w:r>
    </w:p>
    <w:p>
      <w:pPr>
        <w:pStyle w:val="ListParagraph"/>
        <w:numPr>
          <w:ilvl w:val="0"/>
          <w:numId w:val="2"/>
        </w:numPr>
        <w:spacing w:after="120" w:line="276"/>
        <w:jc w:val="left"/>
      </w:pPr>
      <w:r>
        <w:rPr>
          <w:rFonts w:ascii="Verdana" w:cs="Verdana" w:eastAsia="Verdana" w:hAnsi="Verdana"/>
          <w:b/>
          <w:bCs/>
          <w:sz w:val="20"/>
          <w:szCs w:val="20"/>
        </w:rPr>
        <w:t xml:space="preserve">Quality over quick wins: </w:t>
      </w:r>
      <w:r>
        <w:rPr>
          <w:rFonts w:ascii="Verdana" w:cs="Verdana" w:eastAsia="Verdana" w:hAnsi="Verdana"/>
          <w:sz w:val="20"/>
          <w:szCs w:val="20"/>
        </w:rPr>
        <w:t xml:space="preserve">you care about the outcome, not just the deal. The developing natural capital market ruthlessly tests anyone who doesn’t. You’re radically transparent with partners (and with us) when something doesn’t add up, and you walk away when the shape of a deal would compromise quality or integrity. You’re here to make a market, not just hit a target.</w:t>
      </w:r>
    </w:p>
    <w:p>
      <w:pPr>
        <w:pStyle w:val="ListParagraph"/>
        <w:numPr>
          <w:ilvl w:val="0"/>
          <w:numId w:val="2"/>
        </w:numPr>
        <w:spacing w:after="120" w:line="276"/>
        <w:jc w:val="left"/>
      </w:pPr>
      <w:r>
        <w:rPr>
          <w:rFonts w:ascii="Verdana" w:cs="Verdana" w:eastAsia="Verdana" w:hAnsi="Verdana"/>
          <w:b/>
          <w:bCs/>
          <w:sz w:val="20"/>
          <w:szCs w:val="20"/>
        </w:rPr>
        <w:t xml:space="preserve">Pace and patience: </w:t>
      </w:r>
      <w:r>
        <w:rPr>
          <w:rFonts w:ascii="Verdana" w:cs="Verdana" w:eastAsia="Verdana" w:hAnsi="Verdana"/>
          <w:sz w:val="20"/>
          <w:szCs w:val="20"/>
        </w:rPr>
        <w:t xml:space="preserve">OC moves quickly, especially when our market doesn’t. You bring the urgency to operate at our speed and the resilience for the long term — because deals in this developing market don’t close in a quarter, and the work between “yes in principle” and signed contract is where most people fall away.</w:t>
      </w:r>
    </w:p>
    <w:p>
      <w:pPr>
        <w:pStyle w:val="ListParagraph"/>
        <w:numPr>
          <w:ilvl w:val="0"/>
          <w:numId w:val="2"/>
        </w:numPr>
        <w:spacing w:after="120" w:line="276"/>
        <w:jc w:val="left"/>
      </w:pPr>
      <w:r>
        <w:rPr>
          <w:rFonts w:ascii="Verdana" w:cs="Verdana" w:eastAsia="Verdana" w:hAnsi="Verdana"/>
          <w:b/>
          <w:bCs/>
          <w:sz w:val="20"/>
          <w:szCs w:val="20"/>
        </w:rPr>
        <w:t xml:space="preserve">A builder, comfortable in ambiguity: </w:t>
      </w:r>
      <w:r>
        <w:rPr>
          <w:rFonts w:ascii="Verdana" w:cs="Verdana" w:eastAsia="Verdana" w:hAnsi="Verdana"/>
          <w:sz w:val="20"/>
          <w:szCs w:val="20"/>
        </w:rPr>
        <w:t xml:space="preserve">when there’s no playbook, no comparable benchmark and no obvious next move, you’re the person who keeps moving forward. You treat the zero-to-one nature of this role as the appeal, not the risk — and you treat collaboration as the way you build, not friction along the way. The team’s success matters more than your personal pipeline; we have a very rigid “No Dickheads” policy.</w:t>
      </w:r>
    </w:p>
    <w:p>
      <w:pPr>
        <w:pStyle w:val="ListParagraph"/>
        <w:numPr>
          <w:ilvl w:val="0"/>
          <w:numId w:val="2"/>
        </w:numPr>
        <w:spacing w:after="120" w:line="276"/>
        <w:jc w:val="left"/>
      </w:pPr>
      <w:r>
        <w:rPr>
          <w:rFonts w:ascii="Verdana" w:cs="Verdana" w:eastAsia="Verdana" w:hAnsi="Verdana"/>
          <w:b/>
          <w:bCs/>
          <w:sz w:val="20"/>
          <w:szCs w:val="20"/>
        </w:rPr>
        <w:t xml:space="preserve">A learner by instinct: </w:t>
      </w:r>
      <w:r>
        <w:rPr>
          <w:rFonts w:ascii="Verdana" w:cs="Verdana" w:eastAsia="Verdana" w:hAnsi="Verdana"/>
          <w:sz w:val="20"/>
          <w:szCs w:val="20"/>
        </w:rPr>
        <w:t xml:space="preserve">you’ll become genuinely bilingual in the rapidly evolving carbon and biodiversity credit markets — and just as comfortable with the technology that underpins how we make decisions and the products you take to market. Over time, you’ll become the leading commercial figure in the domain.</w:t>
      </w:r>
    </w:p>
    <w:p>
      <w:pPr>
        <w:pStyle w:val="Heading3"/>
      </w:pPr>
      <w:r>
        <w:rPr>
          <w:rFonts w:ascii="Verdana" w:cs="Verdana" w:eastAsia="Verdana" w:hAnsi="Verdana"/>
          <w:b/>
          <w:bCs/>
          <w:sz w:val="24"/>
          <w:szCs w:val="24"/>
        </w:rPr>
        <w:t xml:space="preserve">Craft</w:t>
      </w:r>
    </w:p>
    <w:p>
      <w:pPr>
        <w:pStyle w:val="ListParagraph"/>
        <w:numPr>
          <w:ilvl w:val="0"/>
          <w:numId w:val="2"/>
        </w:numPr>
        <w:spacing w:after="120" w:line="276"/>
        <w:jc w:val="left"/>
      </w:pPr>
      <w:r>
        <w:rPr>
          <w:rFonts w:ascii="Verdana" w:cs="Verdana" w:eastAsia="Verdana" w:hAnsi="Verdana"/>
          <w:b/>
          <w:bCs/>
          <w:sz w:val="20"/>
          <w:szCs w:val="20"/>
        </w:rPr>
        <w:t xml:space="preserve">Deal-making as a creative discipline: </w:t>
      </w:r>
      <w:r>
        <w:rPr>
          <w:rFonts w:ascii="Verdana" w:cs="Verdana" w:eastAsia="Verdana" w:hAnsi="Verdana"/>
          <w:sz w:val="20"/>
          <w:szCs w:val="20"/>
        </w:rPr>
        <w:t xml:space="preserve">when a partner says “this doesn’t work for us,” you’ve already prepared alternative shapes — different tenor, volume, commitment — and can walk through them confidently.</w:t>
      </w:r>
    </w:p>
    <w:p>
      <w:pPr>
        <w:pStyle w:val="ListParagraph"/>
        <w:numPr>
          <w:ilvl w:val="0"/>
          <w:numId w:val="2"/>
        </w:numPr>
        <w:spacing w:after="120" w:line="276"/>
        <w:jc w:val="left"/>
      </w:pPr>
      <w:r>
        <w:rPr>
          <w:rFonts w:ascii="Verdana" w:cs="Verdana" w:eastAsia="Verdana" w:hAnsi="Verdana"/>
          <w:b/>
          <w:bCs/>
          <w:sz w:val="20"/>
          <w:szCs w:val="20"/>
        </w:rPr>
        <w:t xml:space="preserve">A translator and a storyteller: </w:t>
      </w:r>
      <w:r>
        <w:rPr>
          <w:rFonts w:ascii="Verdana" w:cs="Verdana" w:eastAsia="Verdana" w:hAnsi="Verdana"/>
          <w:sz w:val="20"/>
          <w:szCs w:val="20"/>
        </w:rPr>
        <w:t xml:space="preserve">you move between conservation science, investor narrative and corporate procurement language without losing fluency in any of them — and you understand that premium propositions are won on story as much as substance, crafting narratives that partners want to be part of.</w:t>
      </w:r>
    </w:p>
    <w:p>
      <w:pPr>
        <w:pStyle w:val="ListParagraph"/>
        <w:numPr>
          <w:ilvl w:val="0"/>
          <w:numId w:val="2"/>
        </w:numPr>
        <w:spacing w:after="120" w:line="276"/>
        <w:jc w:val="left"/>
      </w:pPr>
      <w:r>
        <w:rPr>
          <w:rFonts w:ascii="Verdana" w:cs="Verdana" w:eastAsia="Verdana" w:hAnsi="Verdana"/>
          <w:b/>
          <w:bCs/>
          <w:sz w:val="20"/>
          <w:szCs w:val="20"/>
        </w:rPr>
        <w:t xml:space="preserve">Unreasonable hospitality: </w:t>
      </w:r>
      <w:r>
        <w:rPr>
          <w:rFonts w:ascii="Verdana" w:cs="Verdana" w:eastAsia="Verdana" w:hAnsi="Verdana"/>
          <w:sz w:val="20"/>
          <w:szCs w:val="20"/>
        </w:rPr>
        <w:t xml:space="preserve">your mindset is to solve with generosity. You think about relationships the way Will Guidara writes about them in </w:t>
      </w:r>
      <w:r>
        <w:rPr>
          <w:rFonts w:ascii="Verdana" w:cs="Verdana" w:eastAsia="Verdana" w:hAnsi="Verdana"/>
          <w:i/>
          <w:iCs/>
          <w:sz w:val="20"/>
          <w:szCs w:val="20"/>
        </w:rPr>
        <w:t xml:space="preserve">Unreasonable Hospitality</w:t>
      </w:r>
      <w:r>
        <w:rPr>
          <w:rFonts w:ascii="Verdana" w:cs="Verdana" w:eastAsia="Verdana" w:hAnsi="Verdana"/>
          <w:sz w:val="20"/>
          <w:szCs w:val="20"/>
        </w:rPr>
        <w:t xml:space="preserve"> — going beyond competent service to make people feel genuinely seen, anticipating what partners need before they ask, and treating every relationship, not just the biggest, with the same genuine care.</w:t>
      </w:r>
    </w:p>
    <w:p>
      <w:pPr>
        <w:pStyle w:val="Heading3"/>
      </w:pPr>
      <w:r>
        <w:rPr>
          <w:rFonts w:ascii="Verdana" w:cs="Verdana" w:eastAsia="Verdana" w:hAnsi="Verdana"/>
          <w:b/>
          <w:bCs/>
          <w:sz w:val="24"/>
          <w:szCs w:val="24"/>
        </w:rPr>
        <w:t xml:space="preserve">Skillset</w:t>
      </w:r>
    </w:p>
    <w:p>
      <w:pPr>
        <w:pStyle w:val="ListParagraph"/>
        <w:numPr>
          <w:ilvl w:val="0"/>
          <w:numId w:val="2"/>
        </w:numPr>
        <w:spacing w:after="120" w:line="276"/>
        <w:jc w:val="left"/>
      </w:pPr>
      <w:r>
        <w:rPr>
          <w:rFonts w:ascii="Verdana" w:cs="Verdana" w:eastAsia="Verdana" w:hAnsi="Verdana"/>
          <w:b/>
          <w:bCs/>
          <w:sz w:val="20"/>
          <w:szCs w:val="20"/>
        </w:rPr>
        <w:t xml:space="preserve">Financial literacy to model your own deals: </w:t>
      </w:r>
      <w:r>
        <w:rPr>
          <w:rFonts w:ascii="Verdana" w:cs="Verdana" w:eastAsia="Verdana" w:hAnsi="Verdana"/>
          <w:sz w:val="20"/>
          <w:szCs w:val="20"/>
        </w:rPr>
        <w:t xml:space="preserve">you can appraise how a credit sale affects an investment return, how pricing decisions ripple through a business model, and articulate both to a board.</w:t>
      </w:r>
    </w:p>
    <w:p>
      <w:pPr>
        <w:pStyle w:val="ListParagraph"/>
        <w:numPr>
          <w:ilvl w:val="0"/>
          <w:numId w:val="2"/>
        </w:numPr>
        <w:spacing w:after="120" w:line="276"/>
        <w:jc w:val="left"/>
      </w:pPr>
      <w:r>
        <w:rPr>
          <w:rFonts w:ascii="Verdana" w:cs="Verdana" w:eastAsia="Verdana" w:hAnsi="Verdana"/>
          <w:b/>
          <w:bCs/>
          <w:sz w:val="20"/>
          <w:szCs w:val="20"/>
        </w:rPr>
        <w:t xml:space="preserve">Technology as leverage: </w:t>
      </w:r>
      <w:r>
        <w:rPr>
          <w:rFonts w:ascii="Verdana" w:cs="Verdana" w:eastAsia="Verdana" w:hAnsi="Verdana"/>
          <w:sz w:val="20"/>
          <w:szCs w:val="20"/>
        </w:rPr>
        <w:t xml:space="preserve">you understand that the right systems, AI tools and data platforms multiply a commercial leader’s impact. You’ll know how to use our proprietary tech to inform pricing, identify the right partners and stay close to a long pipeline — and how to bring AI into your daily workflow as leverage, not novelty.</w:t>
      </w:r>
    </w:p>
    <w:p>
      <w:pPr>
        <w:pStyle w:val="Heading2"/>
      </w:pPr>
      <w:r>
        <w:rPr>
          <w:rFonts w:ascii="Verdana" w:cs="Verdana" w:eastAsia="Verdana" w:hAnsi="Verdana"/>
          <w:b/>
          <w:bCs/>
          <w:sz w:val="28"/>
          <w:szCs w:val="28"/>
        </w:rPr>
        <w:t xml:space="preserve">About the Role</w:t>
      </w:r>
    </w:p>
    <w:p>
      <w:pPr>
        <w:spacing w:after="120" w:line="276"/>
        <w:jc w:val="both"/>
      </w:pPr>
      <w:r>
        <w:rPr>
          <w:rFonts w:ascii="Verdana" w:cs="Verdana" w:eastAsia="Verdana" w:hAnsi="Verdana"/>
          <w:sz w:val="20"/>
          <w:szCs w:val="20"/>
        </w:rPr>
        <w:t xml:space="preserve">This role exists to bring our premium natural capital portfolio to market — leading the sale of 2 million high-integrity carbon, biodiversity and wider nature credits to corporate partners and private investors, at prices that align with the uniqueness of our offering.</w:t>
      </w:r>
    </w:p>
    <w:p>
      <w:pPr>
        <w:spacing w:after="120" w:line="276"/>
        <w:jc w:val="both"/>
      </w:pPr>
      <w:r>
        <w:rPr>
          <w:rFonts w:ascii="Verdana" w:cs="Verdana" w:eastAsia="Verdana" w:hAnsi="Verdana"/>
          <w:sz w:val="20"/>
          <w:szCs w:val="20"/>
        </w:rPr>
        <w:t xml:space="preserve">Your primary focus is securing offtake agreements, premium credit sales and long-term strategic partnerships for OC’s natural capital portfolio. Over time, you’ll build on this foundation to extend the commercial model across the wider Oxygen platform — our proprietary data and analytics capability, our talent network and our content engine — maximising the commercial opportunities across the business.</w:t>
      </w:r>
    </w:p>
    <w:p>
      <w:pPr>
        <w:spacing w:after="120" w:line="276"/>
        <w:jc w:val="both"/>
      </w:pPr>
      <w:r>
        <w:rPr>
          <w:rFonts w:ascii="Verdana" w:cs="Verdana" w:eastAsia="Verdana" w:hAnsi="Verdana"/>
          <w:sz w:val="20"/>
          <w:szCs w:val="20"/>
        </w:rPr>
        <w:t xml:space="preserve">The routes to market you build matter beyond revenue. By establishing credible, scalable partnerships, you’ll directly strengthen our investment case — helping demonstrate to capital markets that high-integrity natural capital is not only impactful but genuinely commercially viable at scale.</w:t>
      </w:r>
    </w:p>
    <w:p>
      <w:pPr>
        <w:spacing w:after="120" w:line="276"/>
        <w:jc w:val="both"/>
      </w:pPr>
      <w:r>
        <w:rPr>
          <w:rFonts w:ascii="Verdana" w:cs="Verdana" w:eastAsia="Verdana" w:hAnsi="Verdana"/>
          <w:sz w:val="20"/>
          <w:szCs w:val="20"/>
        </w:rPr>
        <w:t xml:space="preserve">Internally, this role sits at the heart of our business. You’ll work across our three divisions — Conservation, Capital and Intelligence — bringing together our natural capital, data and analytics, investment, legal, finance and marketing capabilities to create commercial propositions that define the market. You’ll work directly with our CEO and alongside teams that have spent years building expertise across carbon markets, biodiversity net gain and peatland restoration — they’ll be your most important resource, and we’ll invest in your literacy across the landscape.</w:t>
      </w:r>
    </w:p>
    <w:p>
      <w:pPr>
        <w:spacing w:after="120" w:line="276"/>
        <w:jc w:val="both"/>
      </w:pPr>
      <w:r>
        <w:rPr>
          <w:rFonts w:ascii="Verdana" w:cs="Verdana" w:eastAsia="Verdana" w:hAnsi="Verdana"/>
          <w:sz w:val="20"/>
          <w:szCs w:val="20"/>
        </w:rPr>
        <w:t xml:space="preserve">Externally, your relationships will span global corporates, hyperscalers, high net worth individuals and other strategic partners who want exposure to high-quality, high-integrity natural capital. This role builds OC’s brand as a premium developer as much as its revenue.</w:t>
      </w:r>
    </w:p>
    <w:p>
      <w:pPr>
        <w:pStyle w:val="Heading2"/>
      </w:pPr>
      <w:r>
        <w:rPr>
          <w:rFonts w:ascii="Verdana" w:cs="Verdana" w:eastAsia="Verdana" w:hAnsi="Verdana"/>
          <w:b/>
          <w:bCs/>
          <w:sz w:val="28"/>
          <w:szCs w:val="28"/>
        </w:rPr>
        <w:t xml:space="preserve">Key Responsibilities</w:t>
      </w:r>
    </w:p>
    <w:p>
      <w:pPr>
        <w:pStyle w:val="ListParagraph"/>
        <w:numPr>
          <w:ilvl w:val="0"/>
          <w:numId w:val="2"/>
        </w:numPr>
        <w:spacing w:after="120" w:line="276"/>
        <w:jc w:val="left"/>
      </w:pPr>
      <w:r>
        <w:rPr>
          <w:rFonts w:ascii="Verdana" w:cs="Verdana" w:eastAsia="Verdana" w:hAnsi="Verdana"/>
          <w:b/>
          <w:bCs/>
          <w:sz w:val="20"/>
          <w:szCs w:val="20"/>
        </w:rPr>
        <w:t xml:space="preserve">Own the number: </w:t>
      </w:r>
      <w:r>
        <w:rPr>
          <w:rFonts w:ascii="Verdana" w:cs="Verdana" w:eastAsia="Verdana" w:hAnsi="Verdana"/>
          <w:sz w:val="20"/>
          <w:szCs w:val="20"/>
        </w:rPr>
        <w:t xml:space="preserve">carry responsibility for bringing 2 million premium credits to market — landing the offtake agreements, premium sales and long-term partnerships that define OC’s commercial future.</w:t>
      </w:r>
    </w:p>
    <w:p>
      <w:pPr>
        <w:pStyle w:val="ListParagraph"/>
        <w:numPr>
          <w:ilvl w:val="0"/>
          <w:numId w:val="2"/>
        </w:numPr>
        <w:spacing w:after="120" w:line="276"/>
        <w:jc w:val="left"/>
      </w:pPr>
      <w:r>
        <w:rPr>
          <w:rFonts w:ascii="Verdana" w:cs="Verdana" w:eastAsia="Verdana" w:hAnsi="Verdana"/>
          <w:b/>
          <w:bCs/>
          <w:sz w:val="20"/>
          <w:szCs w:val="20"/>
        </w:rPr>
        <w:t xml:space="preserve">Sell at the top of the market: </w:t>
      </w:r>
      <w:r>
        <w:rPr>
          <w:rFonts w:ascii="Verdana" w:cs="Verdana" w:eastAsia="Verdana" w:hAnsi="Verdana"/>
          <w:sz w:val="20"/>
          <w:szCs w:val="20"/>
        </w:rPr>
        <w:t xml:space="preserve">position our credits at the premium end and defend the pricing that quality deserves.</w:t>
      </w:r>
    </w:p>
    <w:p>
      <w:pPr>
        <w:pStyle w:val="ListParagraph"/>
        <w:numPr>
          <w:ilvl w:val="0"/>
          <w:numId w:val="2"/>
        </w:numPr>
        <w:spacing w:after="120" w:line="276"/>
        <w:jc w:val="left"/>
      </w:pPr>
      <w:r>
        <w:rPr>
          <w:rFonts w:ascii="Verdana" w:cs="Verdana" w:eastAsia="Verdana" w:hAnsi="Verdana"/>
          <w:b/>
          <w:bCs/>
          <w:sz w:val="20"/>
          <w:szCs w:val="20"/>
        </w:rPr>
        <w:t xml:space="preserve">Land landmark partnerships: </w:t>
      </w:r>
      <w:r>
        <w:rPr>
          <w:rFonts w:ascii="Verdana" w:cs="Verdana" w:eastAsia="Verdana" w:hAnsi="Verdana"/>
          <w:sz w:val="20"/>
          <w:szCs w:val="20"/>
        </w:rPr>
        <w:t xml:space="preserve">secure long-term relationships with corporates, investors and strategic buyers that shape the future of the market.</w:t>
      </w:r>
    </w:p>
    <w:p>
      <w:pPr>
        <w:pStyle w:val="ListParagraph"/>
        <w:numPr>
          <w:ilvl w:val="0"/>
          <w:numId w:val="2"/>
        </w:numPr>
        <w:spacing w:after="120" w:line="276"/>
        <w:jc w:val="left"/>
      </w:pPr>
      <w:r>
        <w:rPr>
          <w:rFonts w:ascii="Verdana" w:cs="Verdana" w:eastAsia="Verdana" w:hAnsi="Verdana"/>
          <w:b/>
          <w:bCs/>
          <w:sz w:val="20"/>
          <w:szCs w:val="20"/>
        </w:rPr>
        <w:t xml:space="preserve">Structure category-defining deals: </w:t>
      </w:r>
      <w:r>
        <w:rPr>
          <w:rFonts w:ascii="Verdana" w:cs="Verdana" w:eastAsia="Verdana" w:hAnsi="Verdana"/>
          <w:sz w:val="20"/>
          <w:szCs w:val="20"/>
        </w:rPr>
        <w:t xml:space="preserve">create commercial structures where no established template yet exists.</w:t>
      </w:r>
    </w:p>
    <w:p>
      <w:pPr>
        <w:pStyle w:val="ListParagraph"/>
        <w:numPr>
          <w:ilvl w:val="0"/>
          <w:numId w:val="2"/>
        </w:numPr>
        <w:spacing w:after="120" w:line="276"/>
        <w:jc w:val="left"/>
      </w:pPr>
      <w:r>
        <w:rPr>
          <w:rFonts w:ascii="Verdana" w:cs="Verdana" w:eastAsia="Verdana" w:hAnsi="Verdana"/>
          <w:b/>
          <w:bCs/>
          <w:sz w:val="20"/>
          <w:szCs w:val="20"/>
        </w:rPr>
        <w:t xml:space="preserve">Turn relationships into revenue: </w:t>
      </w:r>
      <w:r>
        <w:rPr>
          <w:rFonts w:ascii="Verdana" w:cs="Verdana" w:eastAsia="Verdana" w:hAnsi="Verdana"/>
          <w:sz w:val="20"/>
          <w:szCs w:val="20"/>
        </w:rPr>
        <w:t xml:space="preserve">build deep, trusted partnerships that compound over years, not quarters.</w:t>
      </w:r>
    </w:p>
    <w:p>
      <w:pPr>
        <w:pStyle w:val="ListParagraph"/>
        <w:numPr>
          <w:ilvl w:val="0"/>
          <w:numId w:val="2"/>
        </w:numPr>
        <w:spacing w:after="120" w:line="276"/>
        <w:jc w:val="left"/>
      </w:pPr>
      <w:r>
        <w:rPr>
          <w:rFonts w:ascii="Verdana" w:cs="Verdana" w:eastAsia="Verdana" w:hAnsi="Verdana"/>
          <w:b/>
          <w:bCs/>
          <w:sz w:val="20"/>
          <w:szCs w:val="20"/>
        </w:rPr>
        <w:t xml:space="preserve">Make the investment case undeniable: </w:t>
      </w:r>
      <w:r>
        <w:rPr>
          <w:rFonts w:ascii="Verdana" w:cs="Verdana" w:eastAsia="Verdana" w:hAnsi="Verdana"/>
          <w:sz w:val="20"/>
          <w:szCs w:val="20"/>
        </w:rPr>
        <w:t xml:space="preserve">ensure every deal strengthens confidence in natural capital as a scalable institutional asset class.</w:t>
      </w:r>
    </w:p>
    <w:p>
      <w:pPr>
        <w:pStyle w:val="ListParagraph"/>
        <w:numPr>
          <w:ilvl w:val="0"/>
          <w:numId w:val="2"/>
        </w:numPr>
        <w:spacing w:after="120" w:line="276"/>
        <w:jc w:val="left"/>
      </w:pPr>
      <w:r>
        <w:rPr>
          <w:rFonts w:ascii="Verdana" w:cs="Verdana" w:eastAsia="Verdana" w:hAnsi="Verdana"/>
          <w:b/>
          <w:bCs/>
          <w:sz w:val="20"/>
          <w:szCs w:val="20"/>
        </w:rPr>
        <w:t xml:space="preserve">Build the market: </w:t>
      </w:r>
      <w:r>
        <w:rPr>
          <w:rFonts w:ascii="Verdana" w:cs="Verdana" w:eastAsia="Verdana" w:hAnsi="Verdana"/>
          <w:sz w:val="20"/>
          <w:szCs w:val="20"/>
        </w:rPr>
        <w:t xml:space="preserve">help define how premium natural capital is bought, sold and valued globally.</w:t>
      </w:r>
    </w:p>
    <w:p>
      <w:pPr>
        <w:pStyle w:val="ListParagraph"/>
        <w:numPr>
          <w:ilvl w:val="0"/>
          <w:numId w:val="2"/>
        </w:numPr>
        <w:spacing w:after="120" w:line="276"/>
        <w:jc w:val="left"/>
      </w:pPr>
      <w:r>
        <w:rPr>
          <w:rFonts w:ascii="Verdana" w:cs="Verdana" w:eastAsia="Verdana" w:hAnsi="Verdana"/>
          <w:b/>
          <w:bCs/>
          <w:sz w:val="20"/>
          <w:szCs w:val="20"/>
        </w:rPr>
        <w:t xml:space="preserve">Commercialise the wider Oxygen platform: </w:t>
      </w:r>
      <w:r>
        <w:rPr>
          <w:rFonts w:ascii="Verdana" w:cs="Verdana" w:eastAsia="Verdana" w:hAnsi="Verdana"/>
          <w:sz w:val="20"/>
          <w:szCs w:val="20"/>
        </w:rPr>
        <w:t xml:space="preserve">unlock new opportunities across our data, analytics and intelligence capabilities over time.</w:t>
      </w:r>
    </w:p>
    <w:p>
      <w:pPr>
        <w:pStyle w:val="ListParagraph"/>
        <w:numPr>
          <w:ilvl w:val="0"/>
          <w:numId w:val="2"/>
        </w:numPr>
        <w:spacing w:after="120" w:line="276"/>
        <w:jc w:val="left"/>
      </w:pPr>
      <w:r>
        <w:rPr>
          <w:rFonts w:ascii="Verdana" w:cs="Verdana" w:eastAsia="Verdana" w:hAnsi="Verdana"/>
          <w:b/>
          <w:bCs/>
          <w:sz w:val="20"/>
          <w:szCs w:val="20"/>
        </w:rPr>
        <w:t xml:space="preserve">Represent Oxygen at the highest level: </w:t>
      </w:r>
      <w:r>
        <w:rPr>
          <w:rFonts w:ascii="Verdana" w:cs="Verdana" w:eastAsia="Verdana" w:hAnsi="Verdana"/>
          <w:sz w:val="20"/>
          <w:szCs w:val="20"/>
        </w:rPr>
        <w:t xml:space="preserve">build our reputation in boardrooms, investment committees and the conversations that move markets.</w:t>
      </w:r>
    </w:p>
    <w:p>
      <w:pPr>
        <w:pStyle w:val="ListParagraph"/>
        <w:numPr>
          <w:ilvl w:val="0"/>
          <w:numId w:val="2"/>
        </w:numPr>
        <w:spacing w:after="120" w:line="276"/>
        <w:jc w:val="left"/>
      </w:pPr>
      <w:r>
        <w:rPr>
          <w:rFonts w:ascii="Verdana" w:cs="Verdana" w:eastAsia="Verdana" w:hAnsi="Verdana"/>
          <w:b/>
          <w:bCs/>
          <w:sz w:val="20"/>
          <w:szCs w:val="20"/>
        </w:rPr>
        <w:t xml:space="preserve">Use AI as leverage: </w:t>
      </w:r>
      <w:r>
        <w:rPr>
          <w:rFonts w:ascii="Verdana" w:cs="Verdana" w:eastAsia="Verdana" w:hAnsi="Verdana"/>
          <w:sz w:val="20"/>
          <w:szCs w:val="20"/>
        </w:rPr>
        <w:t xml:space="preserve">bring AI into your daily workflow to move faster, spot opportunities earlier, and operate at a level traditional commercial teams cannot match.</w:t>
      </w:r>
    </w:p>
    <w:p>
      <w:pPr>
        <w:pStyle w:val="Heading2"/>
      </w:pPr>
      <w:r>
        <w:rPr>
          <w:rFonts w:ascii="Verdana" w:cs="Verdana" w:eastAsia="Verdana" w:hAnsi="Verdana"/>
          <w:b/>
          <w:bCs/>
          <w:sz w:val="28"/>
          <w:szCs w:val="28"/>
        </w:rPr>
        <w:t xml:space="preserve">Key Information</w:t>
      </w:r>
    </w:p>
    <w:p>
      <w:pPr>
        <w:pStyle w:val="ListParagraph"/>
        <w:numPr>
          <w:ilvl w:val="0"/>
          <w:numId w:val="2"/>
        </w:numPr>
        <w:spacing w:after="120" w:line="276"/>
        <w:jc w:val="left"/>
      </w:pPr>
      <w:r>
        <w:rPr>
          <w:rFonts w:ascii="Verdana" w:cs="Verdana" w:eastAsia="Verdana" w:hAnsi="Verdana"/>
          <w:b/>
          <w:bCs/>
          <w:sz w:val="20"/>
          <w:szCs w:val="20"/>
        </w:rPr>
        <w:t xml:space="preserve">Location: </w:t>
      </w:r>
      <w:r>
        <w:rPr>
          <w:rFonts w:ascii="Verdana" w:cs="Verdana" w:eastAsia="Verdana" w:hAnsi="Verdana"/>
          <w:sz w:val="20"/>
          <w:szCs w:val="20"/>
        </w:rPr>
        <w:t xml:space="preserve">Remote within the UK, with regular travel to our estates and to partner meetings as required.</w:t>
      </w:r>
    </w:p>
    <w:p>
      <w:pPr>
        <w:pStyle w:val="ListParagraph"/>
        <w:numPr>
          <w:ilvl w:val="0"/>
          <w:numId w:val="2"/>
        </w:numPr>
        <w:spacing w:after="120" w:line="276"/>
        <w:jc w:val="left"/>
      </w:pPr>
      <w:r>
        <w:rPr>
          <w:rFonts w:ascii="Verdana" w:cs="Verdana" w:eastAsia="Verdana" w:hAnsi="Verdana"/>
          <w:b/>
          <w:bCs/>
          <w:sz w:val="20"/>
          <w:szCs w:val="20"/>
        </w:rPr>
        <w:t xml:space="preserve">Employment type: </w:t>
      </w:r>
      <w:r>
        <w:rPr>
          <w:rFonts w:ascii="Verdana" w:cs="Verdana" w:eastAsia="Verdana" w:hAnsi="Verdana"/>
          <w:sz w:val="20"/>
          <w:szCs w:val="20"/>
        </w:rPr>
        <w:t xml:space="preserve">Permanent, full-time.</w:t>
      </w:r>
    </w:p>
    <w:p>
      <w:pPr>
        <w:pStyle w:val="ListParagraph"/>
        <w:numPr>
          <w:ilvl w:val="0"/>
          <w:numId w:val="2"/>
        </w:numPr>
        <w:spacing w:after="120" w:line="276"/>
        <w:jc w:val="left"/>
      </w:pPr>
      <w:r>
        <w:rPr>
          <w:rFonts w:ascii="Verdana" w:cs="Verdana" w:eastAsia="Verdana" w:hAnsi="Verdana"/>
          <w:b/>
          <w:bCs/>
          <w:sz w:val="20"/>
          <w:szCs w:val="20"/>
        </w:rPr>
        <w:t xml:space="preserve">Compensation: </w:t>
      </w:r>
      <w:r>
        <w:rPr>
          <w:rFonts w:ascii="Verdana" w:cs="Verdana" w:eastAsia="Verdana" w:hAnsi="Verdana"/>
          <w:sz w:val="20"/>
          <w:szCs w:val="20"/>
        </w:rPr>
        <w:t xml:space="preserve">A strong base salary and benefits reflecting the seniority of the role. This isn’t a commission-based position — because we never want a reason to push the wrong deal — but we reward the people who help build this market generously. </w:t>
      </w:r>
      <w:r>
        <w:rPr>
          <w:rFonts w:ascii="Verdana" w:cs="Verdana" w:eastAsia="Verdana" w:hAnsi="Verdana"/>
          <w:i/>
          <w:iCs/>
          <w:color w:val="666666"/>
          <w:sz w:val="20"/>
          <w:szCs w:val="20"/>
        </w:rPr>
        <w:t xml:space="preserve">[Reward detail to confirm — e.g. equity / LTIP / recognition — pending group decision]</w:t>
      </w:r>
    </w:p>
    <w:p>
      <w:pPr>
        <w:pStyle w:val="ListParagraph"/>
        <w:numPr>
          <w:ilvl w:val="0"/>
          <w:numId w:val="2"/>
        </w:numPr>
        <w:spacing w:after="120" w:line="276"/>
        <w:jc w:val="left"/>
      </w:pPr>
      <w:r>
        <w:rPr>
          <w:rFonts w:ascii="Verdana" w:cs="Verdana" w:eastAsia="Verdana" w:hAnsi="Verdana"/>
          <w:b/>
          <w:bCs/>
          <w:sz w:val="20"/>
          <w:szCs w:val="20"/>
        </w:rPr>
        <w:t xml:space="preserve">Closing date: </w:t>
      </w:r>
      <w:r>
        <w:rPr>
          <w:rFonts w:ascii="Verdana" w:cs="Verdana" w:eastAsia="Verdana" w:hAnsi="Verdana"/>
          <w:sz w:val="20"/>
          <w:szCs w:val="20"/>
        </w:rPr>
        <w:t xml:space="preserve">Until we find someone awesome.</w:t>
      </w:r>
    </w:p>
    <w:sectPr>
      <w:headerReference w:type="default" r:id="rId7"/>
      <w:footerReference w:type="default" r:id="rId8"/>
      <w:pgSz w:w="11906" w:h="16838" w:orient="portrait"/>
      <w:pgMar w:top="216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5E5E5" w:sz="4" w:space="4"/>
      </w:pBdr>
      <w:tabs>
        <w:tab w:val="right" w:pos="9026"/>
      </w:tabs>
      <w:spacing w:before="120"/>
    </w:pPr>
    <w:r>
      <w:rPr>
        <w:rFonts w:ascii="Verdana" w:cs="Verdana" w:eastAsia="Verdana" w:hAnsi="Verdana"/>
        <w:i/>
        <w:iCs/>
        <w:color w:val="666666"/>
        <w:sz w:val="16"/>
        <w:szCs w:val="16"/>
      </w:rPr>
      <w:t xml:space="preserve">Job Description — Head of Sales</w:t>
    </w:r>
    <w:r>
      <w:rPr>
        <w:rFonts w:ascii="Verdana" w:cs="Verdana" w:eastAsia="Verdana" w:hAnsi="Verdana"/>
        <w:sz w:val="16"/>
        <w:szCs w:val="16"/>
      </w:rPr>
      <w:t xml:space="preserve">	</w:t>
    </w:r>
    <w:r>
      <w:rPr>
        <w:rFonts w:ascii="Verdana" w:cs="Verdana" w:eastAsia="Verdana" w:hAnsi="Verdana"/>
        <w:color w:val="666666"/>
        <w:sz w:val="16"/>
        <w:szCs w:val="16"/>
      </w:rPr>
      <w:t xml:space="preserve">Page </w:t>
    </w:r>
    <w:r>
      <w:rPr>
        <w:rFonts w:ascii="Verdana" w:cs="Verdana" w:eastAsia="Verdana" w:hAnsi="Verdana"/>
        <w:color w:val="666666"/>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200"/>
      <w:jc w:val="center"/>
    </w:pPr>
    <w:r>
      <w:drawing>
        <wp:inline distT="0" distB="0" distL="0" distR="0">
          <wp:extent cx="333375" cy="323850"/>
          <wp:effectExtent t="0" r="0" b="0" l="0"/>
          <wp:docPr id="1" name="oc-logo" descr="Oxygen Conservation logo" title="Oxygen Conserv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333375" cy="32385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Verdana" w:cs="Verdana" w:eastAsia="Verdana" w:hAnsi="Verdana"/>
        <w:color w:val="000000"/>
        <w:sz w:val="20"/>
        <w:szCs w:val="20"/>
      </w:rPr>
    </w:rPrDefault>
    <w:pPrDefault>
      <w:pPr>
        <w:spacing w:after="120" w:line="276"/>
        <w:jc w:val="both"/>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0"/>
      <w:jc w:val="left"/>
      <w:outlineLvl w:val="0"/>
    </w:pPr>
    <w:rPr>
      <w:rFonts w:ascii="Verdana" w:cs="Verdana" w:eastAsia="Verdana" w:hAnsi="Verdana"/>
      <w:b/>
      <w:bCs/>
      <w:color w:val="000000"/>
      <w:sz w:val="52"/>
      <w:szCs w:val="52"/>
    </w:rPr>
  </w:style>
  <w:style w:type="paragraph" w:styleId="Heading2">
    <w:name w:val="Heading 2"/>
    <w:basedOn w:val="Normal"/>
    <w:next w:val="Normal"/>
    <w:qFormat/>
    <w:pPr>
      <w:spacing w:after="200" w:before="360"/>
      <w:jc w:val="left"/>
      <w:outlineLvl w:val="1"/>
    </w:pPr>
    <w:rPr>
      <w:rFonts w:ascii="Verdana" w:cs="Verdana" w:eastAsia="Verdana" w:hAnsi="Verdana"/>
      <w:b/>
      <w:bCs/>
      <w:color w:val="000000"/>
      <w:sz w:val="28"/>
      <w:szCs w:val="28"/>
    </w:rPr>
  </w:style>
  <w:style w:type="paragraph" w:styleId="Heading3">
    <w:name w:val="Heading 3"/>
    <w:basedOn w:val="Normal"/>
    <w:next w:val="Normal"/>
    <w:qFormat/>
    <w:pPr>
      <w:spacing w:after="120" w:before="240"/>
      <w:jc w:val="left"/>
      <w:outlineLvl w:val="2"/>
    </w:pPr>
    <w:rPr>
      <w:rFonts w:ascii="Verdana" w:cs="Verdana" w:eastAsia="Verdana" w:hAnsi="Verdana"/>
      <w:b/>
      <w:bCs/>
      <w:color w:val="000000"/>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d46cc23c432b5cb62475acdd02ee0b68af57ed4f.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2026-06-16T19:16:54.634Z</dcterms:created>
  <dcterms:modified xsi:type="dcterms:W3CDTF">2026-06-16T19:16:54.634Z</dcterms:modified>
</cp:coreProperties>
</file>

<file path=docProps/custom.xml><?xml version="1.0" encoding="utf-8"?>
<Properties xmlns="http://schemas.openxmlformats.org/officeDocument/2006/custom-properties" xmlns:vt="http://schemas.openxmlformats.org/officeDocument/2006/docPropsVTypes"/>
</file>